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Ljubljana, 12.04.2021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Sporočilo za javnost: Študentje, izkoristite svojo volilno pravico!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torek, 13. aprila 2021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bodo potekale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volitve rektorja za mandatno obdobje 2021-2025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na vseh 26 članicah Univerze v Ljubljani in rektoratu hkrati.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Volilno pravico imamo tudi ŠTUDENTJE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- pripada nam ena petina glasov od skupnega števila glasov na posamezni članici, zato na Študentski organizaciji Univerze v Ljubljani pozivamo vse študente in študentke, da izkoristijo svojo volilno pravico in oddajo svoj glas.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Za naziv rektorja se bodo prvič v zgodovini Univerze potegovali kar štirje kandidati: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 dr. Igor Lukšič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(UL Fakulteta za družbene vede),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 dr. Gregor Majdič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(UL Veterinarska fakulteta),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 dr. Igor Papič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(UL Fakulteta za elektrotehniko in UL Fakulteta za kemijo in kemijsko tehnologijo),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jc w:val="both"/>
        <w:rPr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prof. dr. Anton Ramšak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(UL Fakulteta za matematiko in fiziko).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Volilno pravico za volitve rektorja imajo visokošolski učitelji/učiteljice, znanstveni sodelavci/sodelavke, ki so zaposleni vsaj za polovični delovni čas, razen učiteljev/učiteljic kliničnih predmetov, ki morajo biti zaposleni vsaj v obsegu 25 % polnega delovnega časa, strokovno-administrativni in tehnični sodelavci/sodelavke, ki so zaposleni za vsaj polovični delovni čas.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Klemen Petek, predsednik ŠOU v Ljubljani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študentom sporoča: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»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Vse študentke in študente vabim, da oddate svoj glas in s tem sooblikujete prihodnost naše univerze. Pozivam vas, da si ogledate predstavitve in programe kandidatov, ki so na voljo tudi na naših družbenih omrežjih, ter sprejmete informirano odločitev.”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 ŠOU v Ljubljani smo v tednih pred volitvami v sodelovanju s Študentskim svetom Univerze v Ljubljani organizirali tudi soočenje kandidatov za rektorja, ki si ga lahko ogledate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tukaj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 Za lažjo odločitev ne spreglejte niti programov vseh kandidatov, ki so na voljo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tukaj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 okviru nadaljnjih promocijskih aktivnosti in predstavitev kandidatov vas vabimo, da nas spremljate tudi na Instagram in Facebook profilih ŠOU v Ljubljani.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rPr/>
    </w:pPr>
    <w:r w:rsidDel="00000000" w:rsidR="00000000" w:rsidRPr="00000000">
      <w:rPr/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5739130" cy="63119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39130" cy="6311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eyVnGzv2Mzc&amp;t=2541s" TargetMode="External"/><Relationship Id="rId7" Type="http://schemas.openxmlformats.org/officeDocument/2006/relationships/hyperlink" Target="https://www.uni-lj.si/v_ospredju/2021031810274347/?fbclid=IwAR3x7ciUAeCl_pkVKiS66dkRJ5NUpeUvCY9rxXeSu5J4T9SQyLY2dm_XxQ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